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2499"/>
        <w:gridCol w:w="3402"/>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C46F68" w:rsidP="00DD0888">
            <w:r>
              <w:rPr>
                <w:rFonts w:ascii="Cambria" w:hAnsi="Cambria" w:cs="Calibri"/>
                <w:b/>
                <w:bCs/>
                <w:color w:val="000000"/>
                <w:sz w:val="17"/>
                <w:szCs w:val="17"/>
              </w:rPr>
              <w:t>Maddenin Tanecikli Yapısı</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0A52AA"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Yoğunluk</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405046">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405046">
              <w:rPr>
                <w:rFonts w:ascii="Arial" w:hAnsi="Arial" w:cs="Arial"/>
                <w:b/>
                <w:bCs/>
                <w:color w:val="000000"/>
                <w:sz w:val="20"/>
                <w:szCs w:val="20"/>
              </w:rPr>
              <w:t>8</w:t>
            </w:r>
            <w:r w:rsidR="004E7994">
              <w:rPr>
                <w:rFonts w:ascii="Arial" w:hAnsi="Arial" w:cs="Arial"/>
                <w:b/>
                <w:bCs/>
                <w:color w:val="000000"/>
                <w:sz w:val="20"/>
                <w:szCs w:val="20"/>
              </w:rPr>
              <w:t xml:space="preserve"> – </w:t>
            </w:r>
            <w:r w:rsidR="001A5A6C">
              <w:rPr>
                <w:rFonts w:ascii="Arial" w:hAnsi="Arial" w:cs="Arial"/>
                <w:b/>
                <w:bCs/>
                <w:color w:val="000000"/>
                <w:sz w:val="20"/>
                <w:szCs w:val="20"/>
              </w:rPr>
              <w:t>1</w:t>
            </w:r>
            <w:r w:rsidR="00405046">
              <w:rPr>
                <w:rFonts w:ascii="Arial" w:hAnsi="Arial" w:cs="Arial"/>
                <w:b/>
                <w:bCs/>
                <w:color w:val="000000"/>
                <w:sz w:val="20"/>
                <w:szCs w:val="20"/>
              </w:rPr>
              <w:t>2 Şubat 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E23E84" w:rsidRPr="00C81FCD" w:rsidRDefault="001A5A6C" w:rsidP="00C81FCD">
            <w:pPr>
              <w:rPr>
                <w:sz w:val="18"/>
                <w:szCs w:val="18"/>
              </w:rPr>
            </w:pPr>
            <w:r w:rsidRPr="001A5A6C">
              <w:rPr>
                <w:sz w:val="18"/>
                <w:szCs w:val="18"/>
              </w:rPr>
              <w:t>6.3.3.4. Suyun katı ve sıvı hâllerine ait yoğunlukları karşılaştırarak bu durumun canlılar için önemini sorgular.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ED51E1" w:rsidRPr="00F8623B" w:rsidRDefault="00ED51E1" w:rsidP="004E7994">
            <w:pPr>
              <w:tabs>
                <w:tab w:val="left" w:pos="-80"/>
                <w:tab w:val="left" w:pos="252"/>
              </w:tabs>
              <w:rPr>
                <w:sz w:val="18"/>
                <w:szCs w:val="18"/>
              </w:rPr>
            </w:pP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EA16DB" w:rsidRPr="00C81FCD" w:rsidRDefault="00EA16DB" w:rsidP="00D81BAD">
            <w:pPr>
              <w:pStyle w:val="AralkYok"/>
              <w:rPr>
                <w:sz w:val="16"/>
                <w:szCs w:val="16"/>
              </w:rPr>
            </w:pP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7"/>
            <w:tcBorders>
              <w:top w:val="single" w:sz="4" w:space="0" w:color="auto"/>
              <w:left w:val="single" w:sz="4" w:space="0" w:color="auto"/>
              <w:bottom w:val="single" w:sz="4" w:space="0" w:color="auto"/>
              <w:right w:val="single" w:sz="4" w:space="0" w:color="auto"/>
            </w:tcBorders>
            <w:shd w:val="clear" w:color="auto" w:fill="auto"/>
          </w:tcPr>
          <w:p w:rsidR="004E7994" w:rsidRPr="001A5A6C" w:rsidRDefault="004E7994" w:rsidP="00D74535">
            <w:pPr>
              <w:autoSpaceDE w:val="0"/>
              <w:autoSpaceDN w:val="0"/>
              <w:adjustRightInd w:val="0"/>
              <w:jc w:val="center"/>
              <w:rPr>
                <w:b/>
                <w:noProof w:val="0"/>
                <w:color w:val="FF0000"/>
                <w:sz w:val="20"/>
                <w:szCs w:val="20"/>
                <w:lang w:eastAsia="tr-TR"/>
              </w:rPr>
            </w:pPr>
          </w:p>
          <w:p w:rsidR="004E7994" w:rsidRPr="001A5A6C" w:rsidRDefault="001A5A6C" w:rsidP="001A5A6C">
            <w:pPr>
              <w:autoSpaceDE w:val="0"/>
              <w:autoSpaceDN w:val="0"/>
              <w:adjustRightInd w:val="0"/>
              <w:jc w:val="both"/>
              <w:rPr>
                <w:noProof w:val="0"/>
                <w:sz w:val="20"/>
                <w:szCs w:val="20"/>
                <w:lang w:eastAsia="tr-TR"/>
              </w:rPr>
            </w:pPr>
            <w:r w:rsidRPr="001A5A6C">
              <w:rPr>
                <w:noProof w:val="0"/>
                <w:sz w:val="20"/>
                <w:szCs w:val="20"/>
                <w:lang w:eastAsia="tr-TR"/>
              </w:rPr>
              <w:t>Buzdolabınızda içecek soğuk su yoksa suyu soğutmak için buz kullanırsınız. Suyun içine attığınız buzun yüzdüğünü görürsünüz. Bu durum, buzun yoğunluğunun suyunkinden az olduğunu gösterir. Saf suyun yoğunluğu 1 g/cm3 iken suyun donmasıyla oluşan buzun yoğunluğu 0,9 g/cm3’tür. Buz, suyun hâl değiştirmesiyle oluşur ve kendi sıvısı içinde yüzer. Buzun su içinde yüzmesi, günlük hayatta karşılaşabileceğiniz basit bir olay gibi görünse de canlılar için çok önemlidir.</w:t>
            </w:r>
          </w:p>
          <w:p w:rsidR="001A5A6C" w:rsidRPr="001A5A6C" w:rsidRDefault="001A5A6C" w:rsidP="001A5A6C">
            <w:pPr>
              <w:autoSpaceDE w:val="0"/>
              <w:autoSpaceDN w:val="0"/>
              <w:adjustRightInd w:val="0"/>
              <w:jc w:val="both"/>
              <w:rPr>
                <w:noProof w:val="0"/>
                <w:sz w:val="20"/>
                <w:szCs w:val="20"/>
                <w:lang w:eastAsia="tr-TR"/>
              </w:rPr>
            </w:pPr>
          </w:p>
          <w:p w:rsidR="001A5A6C" w:rsidRPr="001A5A6C" w:rsidRDefault="001A5A6C" w:rsidP="001A5A6C">
            <w:pPr>
              <w:autoSpaceDE w:val="0"/>
              <w:autoSpaceDN w:val="0"/>
              <w:adjustRightInd w:val="0"/>
              <w:jc w:val="both"/>
              <w:rPr>
                <w:noProof w:val="0"/>
                <w:sz w:val="20"/>
                <w:szCs w:val="20"/>
                <w:lang w:eastAsia="tr-TR"/>
              </w:rPr>
            </w:pPr>
            <w:r>
              <w:rPr>
                <w:sz w:val="20"/>
                <w:szCs w:val="20"/>
                <w:lang w:eastAsia="tr-TR"/>
              </w:rPr>
              <w:drawing>
                <wp:anchor distT="0" distB="0" distL="114300" distR="114300" simplePos="0" relativeHeight="251658240" behindDoc="0" locked="0" layoutInCell="1" allowOverlap="1">
                  <wp:simplePos x="0" y="0"/>
                  <wp:positionH relativeFrom="column">
                    <wp:posOffset>2303780</wp:posOffset>
                  </wp:positionH>
                  <wp:positionV relativeFrom="paragraph">
                    <wp:posOffset>-65405</wp:posOffset>
                  </wp:positionV>
                  <wp:extent cx="3167380" cy="2181860"/>
                  <wp:effectExtent l="0" t="0" r="0" b="0"/>
                  <wp:wrapSquare wrapText="bothSides"/>
                  <wp:docPr id="1" name="Resim 1" descr="C:\Users\casper\YandexDisk\Ekran görüntüleri\2015-01-11 15-40-20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2015-01-11 15-40-20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67380" cy="2181860"/>
                          </a:xfrm>
                          <a:prstGeom prst="rect">
                            <a:avLst/>
                          </a:prstGeom>
                          <a:noFill/>
                          <a:ln>
                            <a:noFill/>
                          </a:ln>
                        </pic:spPr>
                      </pic:pic>
                    </a:graphicData>
                  </a:graphic>
                </wp:anchor>
              </w:drawing>
            </w:r>
            <w:r w:rsidRPr="001A5A6C">
              <w:rPr>
                <w:noProof w:val="0"/>
                <w:sz w:val="20"/>
                <w:szCs w:val="20"/>
                <w:lang w:eastAsia="tr-TR"/>
              </w:rPr>
              <w:t>Bazı canlılar, suda yaşamaktadır. Özellikle soğuk bölgelerde ve kutuplarda su donmaktadır. Suyun donmasına rağmen canlılar yaşamlarını sürdürür. Bunun nasıl gerçekleştiğini anlamak için küçük bir deney yapabilirsiniz. İçine su doldurduğunuz bardağı buzdolabının buzluğuna koyunuz. Bardaktaki suyun nereden donmaya başladığını 15 dakikada bir gözlemleyiniz. Gözlemleriniz sonucunda, donma olayının suyun yüzeyinden başladığını fark edebilirsiniz.</w:t>
            </w:r>
          </w:p>
          <w:p w:rsidR="001A5A6C" w:rsidRPr="001A5A6C" w:rsidRDefault="001A5A6C" w:rsidP="001A5A6C">
            <w:pPr>
              <w:autoSpaceDE w:val="0"/>
              <w:autoSpaceDN w:val="0"/>
              <w:adjustRightInd w:val="0"/>
              <w:jc w:val="both"/>
              <w:rPr>
                <w:noProof w:val="0"/>
                <w:sz w:val="20"/>
                <w:szCs w:val="20"/>
                <w:lang w:eastAsia="tr-TR"/>
              </w:rPr>
            </w:pPr>
          </w:p>
          <w:p w:rsidR="001A5A6C" w:rsidRPr="001A5A6C" w:rsidRDefault="001A5A6C" w:rsidP="001A5A6C">
            <w:pPr>
              <w:autoSpaceDE w:val="0"/>
              <w:autoSpaceDN w:val="0"/>
              <w:adjustRightInd w:val="0"/>
              <w:jc w:val="both"/>
              <w:rPr>
                <w:noProof w:val="0"/>
                <w:sz w:val="20"/>
                <w:szCs w:val="20"/>
                <w:lang w:eastAsia="tr-TR"/>
              </w:rPr>
            </w:pPr>
            <w:r w:rsidRPr="001A5A6C">
              <w:rPr>
                <w:noProof w:val="0"/>
                <w:sz w:val="20"/>
                <w:szCs w:val="20"/>
                <w:lang w:eastAsia="tr-TR"/>
              </w:rPr>
              <w:t>Suyun yüzeyinde, donmanın başlamasıyla buz tabakası oluşacaktır. Buz, su üstünde yüzdüğü için denizlerin ve göllerin dip kısımları, yaşam için uygun sıcaklıkta kalır. Bu nedenle su altındaki canlılar, soğuk havalarda da diplerde yaşamlarını sürdürebilir.</w:t>
            </w:r>
          </w:p>
          <w:p w:rsidR="001A5A6C" w:rsidRPr="001A5A6C" w:rsidRDefault="001A5A6C" w:rsidP="001A5A6C">
            <w:pPr>
              <w:autoSpaceDE w:val="0"/>
              <w:autoSpaceDN w:val="0"/>
              <w:adjustRightInd w:val="0"/>
              <w:jc w:val="center"/>
              <w:rPr>
                <w:noProof w:val="0"/>
                <w:sz w:val="20"/>
                <w:szCs w:val="20"/>
                <w:lang w:eastAsia="tr-TR"/>
              </w:rPr>
            </w:pPr>
          </w:p>
          <w:p w:rsidR="001A5A6C" w:rsidRPr="001A5A6C" w:rsidRDefault="001A5A6C" w:rsidP="001A5A6C">
            <w:pPr>
              <w:autoSpaceDE w:val="0"/>
              <w:autoSpaceDN w:val="0"/>
              <w:adjustRightInd w:val="0"/>
              <w:jc w:val="center"/>
              <w:rPr>
                <w:b/>
                <w:i/>
                <w:color w:val="000000"/>
                <w:sz w:val="22"/>
                <w:szCs w:val="22"/>
                <w:lang w:eastAsia="tr-TR"/>
              </w:rPr>
            </w:pPr>
            <w:r w:rsidRPr="001A5A6C">
              <w:rPr>
                <w:b/>
                <w:i/>
                <w:noProof w:val="0"/>
                <w:sz w:val="20"/>
                <w:szCs w:val="20"/>
                <w:lang w:eastAsia="tr-TR"/>
              </w:rPr>
              <w:t>Suyu diğer maddelerden ayıran özelliklerden biri sıvıdan katı hâle geçtiğinde hacminin büyümesidir. Oysaki diğer maddelerin hacimleri, sıvıdan katı hâle geçtiğinde küçülür ve yoğunlukları artar.</w:t>
            </w: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81FCD">
        <w:trPr>
          <w:cantSplit/>
          <w:trHeight w:val="1458"/>
        </w:trPr>
        <w:tc>
          <w:tcPr>
            <w:tcW w:w="7851" w:type="dxa"/>
            <w:gridSpan w:val="8"/>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5F6CB9" w:rsidP="001A5A6C">
            <w:pPr>
              <w:jc w:val="center"/>
              <w:rPr>
                <w:rFonts w:ascii="Arial" w:hAnsi="Arial" w:cs="Arial"/>
                <w:b/>
                <w:bCs/>
                <w:color w:val="FF0000"/>
                <w:sz w:val="20"/>
                <w:szCs w:val="20"/>
              </w:rPr>
            </w:pPr>
          </w:p>
        </w:tc>
      </w:tr>
      <w:tr w:rsidR="005959AB" w:rsidRPr="00BD7749" w:rsidTr="00C81FCD">
        <w:trPr>
          <w:cantSplit/>
          <w:trHeight w:val="336"/>
        </w:trPr>
        <w:tc>
          <w:tcPr>
            <w:tcW w:w="7851" w:type="dxa"/>
            <w:gridSpan w:val="8"/>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390189" w:rsidRDefault="00390189" w:rsidP="00DD0888">
      <w:pPr>
        <w:spacing w:before="20" w:after="20"/>
        <w:rPr>
          <w:rFonts w:ascii="Arial" w:hAnsi="Arial" w:cs="Arial"/>
          <w:b/>
          <w:color w:val="000000"/>
          <w:sz w:val="20"/>
          <w:szCs w:val="22"/>
        </w:rPr>
      </w:pPr>
      <w:bookmarkStart w:id="0" w:name="_GoBack"/>
      <w:bookmarkEnd w:id="0"/>
    </w:p>
    <w:p w:rsidR="00405046" w:rsidRDefault="00405046" w:rsidP="00DD0888">
      <w:pPr>
        <w:spacing w:before="20" w:after="20"/>
        <w:rPr>
          <w:rFonts w:ascii="Arial" w:hAnsi="Arial" w:cs="Arial"/>
          <w:b/>
          <w:color w:val="000000"/>
          <w:sz w:val="20"/>
          <w:szCs w:val="22"/>
        </w:rPr>
      </w:pPr>
    </w:p>
    <w:p w:rsidR="00405046" w:rsidRDefault="00405046" w:rsidP="00DD0888">
      <w:pPr>
        <w:spacing w:before="20" w:after="20"/>
        <w:rPr>
          <w:rFonts w:ascii="Arial" w:hAnsi="Arial" w:cs="Arial"/>
          <w:b/>
          <w:color w:val="000000"/>
          <w:sz w:val="20"/>
          <w:szCs w:val="22"/>
        </w:rPr>
      </w:pPr>
    </w:p>
    <w:p w:rsidR="00265651" w:rsidRDefault="00265651" w:rsidP="00265651">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265651" w:rsidRDefault="00265651" w:rsidP="00265651">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265651">
      <w:pPr>
        <w:spacing w:before="20" w:after="20"/>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6188D"/>
    <w:rsid w:val="00083B53"/>
    <w:rsid w:val="000A52AA"/>
    <w:rsid w:val="000C51DE"/>
    <w:rsid w:val="000E6A24"/>
    <w:rsid w:val="000E7D70"/>
    <w:rsid w:val="0014626C"/>
    <w:rsid w:val="00152DA1"/>
    <w:rsid w:val="00153C4E"/>
    <w:rsid w:val="00162448"/>
    <w:rsid w:val="00180D04"/>
    <w:rsid w:val="001A1699"/>
    <w:rsid w:val="001A5A6C"/>
    <w:rsid w:val="001C344B"/>
    <w:rsid w:val="001D3385"/>
    <w:rsid w:val="001D3732"/>
    <w:rsid w:val="001F7CB3"/>
    <w:rsid w:val="0020008E"/>
    <w:rsid w:val="00202A0E"/>
    <w:rsid w:val="00216E77"/>
    <w:rsid w:val="0024158B"/>
    <w:rsid w:val="00253B52"/>
    <w:rsid w:val="00262B7B"/>
    <w:rsid w:val="00265651"/>
    <w:rsid w:val="00272B7C"/>
    <w:rsid w:val="002C2868"/>
    <w:rsid w:val="002D69D1"/>
    <w:rsid w:val="002E63DF"/>
    <w:rsid w:val="002F1734"/>
    <w:rsid w:val="00301904"/>
    <w:rsid w:val="00316062"/>
    <w:rsid w:val="0033073B"/>
    <w:rsid w:val="0034524C"/>
    <w:rsid w:val="00345973"/>
    <w:rsid w:val="00390189"/>
    <w:rsid w:val="00390EC7"/>
    <w:rsid w:val="003A68C8"/>
    <w:rsid w:val="003D726A"/>
    <w:rsid w:val="003F21AB"/>
    <w:rsid w:val="00405046"/>
    <w:rsid w:val="00405775"/>
    <w:rsid w:val="00461742"/>
    <w:rsid w:val="0046380A"/>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5374B"/>
    <w:rsid w:val="00B54193"/>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916BD"/>
    <w:rsid w:val="00CB67CA"/>
    <w:rsid w:val="00CC5919"/>
    <w:rsid w:val="00D02D1B"/>
    <w:rsid w:val="00D06272"/>
    <w:rsid w:val="00D34A64"/>
    <w:rsid w:val="00D4464C"/>
    <w:rsid w:val="00D530C1"/>
    <w:rsid w:val="00D56F9C"/>
    <w:rsid w:val="00D67895"/>
    <w:rsid w:val="00D74535"/>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68729611">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556577078">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C6613-C1D5-4B83-9309-01C3129FD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2016-04-02T10:52:00Z</dcterms:created>
  <dcterms:modified xsi:type="dcterms:W3CDTF">2016-04-02T10:52:00Z</dcterms:modified>
  <cp:category>www.yeniokul.com</cp:category>
</cp:coreProperties>
</file>